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798" w:rsidRPr="00933BA7" w:rsidRDefault="00933BA7">
      <w:pPr>
        <w:rPr>
          <w:rFonts w:ascii="Times New Roman" w:hAnsi="Times New Roman" w:cs="Times New Roman"/>
          <w:b/>
        </w:rPr>
      </w:pPr>
      <w:r w:rsidRPr="00933BA7">
        <w:rPr>
          <w:rFonts w:ascii="Times New Roman" w:hAnsi="Times New Roman" w:cs="Times New Roman"/>
          <w:b/>
        </w:rPr>
        <w:t xml:space="preserve">Table </w:t>
      </w:r>
      <w:r w:rsidR="00333C3D">
        <w:rPr>
          <w:rFonts w:ascii="Times New Roman" w:hAnsi="Times New Roman" w:cs="Times New Roman"/>
          <w:b/>
        </w:rPr>
        <w:t>S</w:t>
      </w:r>
      <w:r w:rsidRPr="00933BA7">
        <w:rPr>
          <w:rFonts w:ascii="Times New Roman" w:hAnsi="Times New Roman" w:cs="Times New Roman"/>
          <w:b/>
        </w:rPr>
        <w:t>2</w:t>
      </w:r>
      <w:r w:rsidRPr="00933BA7">
        <w:rPr>
          <w:rFonts w:ascii="Times New Roman" w:hAnsi="Times New Roman" w:cs="Times New Roman"/>
        </w:rPr>
        <w:t xml:space="preserve">. Parameters calculated to assess mitochondrial function from the oxygen consumption rate (OCR) </w:t>
      </w:r>
      <w:r w:rsidRPr="00933BA7">
        <w:rPr>
          <w:rFonts w:ascii="Times New Roman" w:hAnsi="Times New Roman" w:cs="Times New Roman"/>
          <w:b/>
        </w:rPr>
        <w:t>(a)</w:t>
      </w:r>
      <w:r w:rsidRPr="00933BA7">
        <w:rPr>
          <w:rFonts w:ascii="Times New Roman" w:hAnsi="Times New Roman" w:cs="Times New Roman"/>
        </w:rPr>
        <w:t xml:space="preserve"> and glycolytic function from the extracellular acidification rate (ECAR) </w:t>
      </w:r>
      <w:r w:rsidRPr="00933BA7">
        <w:rPr>
          <w:rFonts w:ascii="Times New Roman" w:hAnsi="Times New Roman" w:cs="Times New Roman"/>
          <w:b/>
        </w:rPr>
        <w:t>(b)</w:t>
      </w:r>
    </w:p>
    <w:p w:rsidR="00933BA7" w:rsidRPr="00933BA7" w:rsidRDefault="00933BA7">
      <w:pPr>
        <w:rPr>
          <w:rFonts w:ascii="Times New Roman" w:hAnsi="Times New Roman" w:cs="Times New Roman"/>
          <w:b/>
        </w:rPr>
      </w:pPr>
      <w:r w:rsidRPr="00933BA7">
        <w:rPr>
          <w:rFonts w:ascii="Times New Roman" w:hAnsi="Times New Roman" w:cs="Times New Roman"/>
          <w:b/>
        </w:rPr>
        <w:t>(a)</w:t>
      </w:r>
    </w:p>
    <w:tbl>
      <w:tblPr>
        <w:tblW w:w="9600" w:type="dxa"/>
        <w:tblCellMar>
          <w:left w:w="0" w:type="dxa"/>
          <w:right w:w="0" w:type="dxa"/>
        </w:tblCellMar>
        <w:tblLook w:val="04A0"/>
      </w:tblPr>
      <w:tblGrid>
        <w:gridCol w:w="2140"/>
        <w:gridCol w:w="7460"/>
      </w:tblGrid>
      <w:tr w:rsidR="00933BA7" w:rsidRPr="00933BA7" w:rsidTr="00933BA7">
        <w:trPr>
          <w:trHeight w:val="584"/>
        </w:trPr>
        <w:tc>
          <w:tcPr>
            <w:tcW w:w="2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center"/>
              <w:rPr>
                <w:rFonts w:ascii="Times New Roman" w:hAnsi="Times New Roman" w:cs="Times New Roman"/>
              </w:rPr>
            </w:pPr>
            <w:r w:rsidRPr="00933BA7">
              <w:rPr>
                <w:rFonts w:ascii="Times New Roman" w:hAnsi="Times New Roman" w:cs="Times New Roman"/>
                <w:b/>
                <w:bCs/>
              </w:rPr>
              <w:t>Parameter</w:t>
            </w:r>
          </w:p>
        </w:tc>
        <w:tc>
          <w:tcPr>
            <w:tcW w:w="74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center"/>
              <w:rPr>
                <w:rFonts w:ascii="Times New Roman" w:hAnsi="Times New Roman" w:cs="Times New Roman"/>
              </w:rPr>
            </w:pPr>
            <w:r w:rsidRPr="00933BA7">
              <w:rPr>
                <w:rFonts w:ascii="Times New Roman" w:hAnsi="Times New Roman" w:cs="Times New Roman"/>
                <w:b/>
                <w:bCs/>
              </w:rPr>
              <w:t>Description</w:t>
            </w:r>
          </w:p>
        </w:tc>
      </w:tr>
      <w:tr w:rsidR="00933BA7" w:rsidRPr="00933BA7" w:rsidTr="00933BA7">
        <w:trPr>
          <w:trHeight w:val="584"/>
        </w:trPr>
        <w:tc>
          <w:tcPr>
            <w:tcW w:w="21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center"/>
              <w:rPr>
                <w:rFonts w:ascii="Times New Roman" w:hAnsi="Times New Roman" w:cs="Times New Roman"/>
              </w:rPr>
            </w:pPr>
            <w:r w:rsidRPr="00933BA7">
              <w:rPr>
                <w:rFonts w:ascii="Times New Roman" w:hAnsi="Times New Roman" w:cs="Times New Roman"/>
                <w:b/>
                <w:bCs/>
              </w:rPr>
              <w:t>Basal respiration</w:t>
            </w:r>
          </w:p>
        </w:tc>
        <w:tc>
          <w:tcPr>
            <w:tcW w:w="74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left"/>
              <w:rPr>
                <w:rFonts w:ascii="Times New Roman" w:hAnsi="Times New Roman" w:cs="Times New Roman"/>
              </w:rPr>
            </w:pPr>
            <w:r w:rsidRPr="00933BA7">
              <w:rPr>
                <w:rFonts w:ascii="Times New Roman" w:hAnsi="Times New Roman" w:cs="Times New Roman"/>
                <w:lang w:val="en-US"/>
              </w:rPr>
              <w:t>Baseline respiration before addition of compounds</w:t>
            </w:r>
          </w:p>
        </w:tc>
      </w:tr>
      <w:tr w:rsidR="00933BA7" w:rsidRPr="00933BA7" w:rsidTr="00933BA7">
        <w:trPr>
          <w:trHeight w:val="58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center"/>
              <w:rPr>
                <w:rFonts w:ascii="Times New Roman" w:hAnsi="Times New Roman" w:cs="Times New Roman"/>
              </w:rPr>
            </w:pPr>
            <w:r w:rsidRPr="00933BA7">
              <w:rPr>
                <w:rFonts w:ascii="Times New Roman" w:hAnsi="Times New Roman" w:cs="Times New Roman"/>
                <w:b/>
                <w:bCs/>
              </w:rPr>
              <w:t>ATP synthesis</w:t>
            </w:r>
          </w:p>
        </w:tc>
        <w:tc>
          <w:tcPr>
            <w:tcW w:w="7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left"/>
              <w:rPr>
                <w:rFonts w:ascii="Times New Roman" w:hAnsi="Times New Roman" w:cs="Times New Roman"/>
              </w:rPr>
            </w:pPr>
            <w:r w:rsidRPr="00933BA7">
              <w:rPr>
                <w:rFonts w:ascii="Times New Roman" w:hAnsi="Times New Roman" w:cs="Times New Roman"/>
                <w:b/>
                <w:bCs/>
                <w:lang w:val="en-US"/>
              </w:rPr>
              <w:t>Oligomycin</w:t>
            </w:r>
            <w:r w:rsidRPr="00933BA7">
              <w:rPr>
                <w:rFonts w:ascii="Times New Roman" w:hAnsi="Times New Roman" w:cs="Times New Roman"/>
                <w:lang w:val="en-US"/>
              </w:rPr>
              <w:t>-sensitive respiration: basal respiration portion used for ATP production</w:t>
            </w:r>
          </w:p>
        </w:tc>
      </w:tr>
      <w:tr w:rsidR="00933BA7" w:rsidRPr="00933BA7" w:rsidTr="00933BA7">
        <w:trPr>
          <w:trHeight w:val="58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center"/>
              <w:rPr>
                <w:rFonts w:ascii="Times New Roman" w:hAnsi="Times New Roman" w:cs="Times New Roman"/>
              </w:rPr>
            </w:pPr>
            <w:r w:rsidRPr="00933BA7">
              <w:rPr>
                <w:rFonts w:ascii="Times New Roman" w:hAnsi="Times New Roman" w:cs="Times New Roman"/>
                <w:b/>
                <w:bCs/>
              </w:rPr>
              <w:t>Proton leak</w:t>
            </w:r>
          </w:p>
        </w:tc>
        <w:tc>
          <w:tcPr>
            <w:tcW w:w="746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left"/>
              <w:rPr>
                <w:rFonts w:ascii="Times New Roman" w:hAnsi="Times New Roman" w:cs="Times New Roman"/>
              </w:rPr>
            </w:pPr>
            <w:r w:rsidRPr="00933BA7">
              <w:rPr>
                <w:rFonts w:ascii="Times New Roman" w:hAnsi="Times New Roman" w:cs="Times New Roman"/>
                <w:b/>
                <w:bCs/>
                <w:lang w:val="en-US"/>
              </w:rPr>
              <w:t>Oligomycin</w:t>
            </w:r>
            <w:r w:rsidRPr="00933BA7">
              <w:rPr>
                <w:rFonts w:ascii="Times New Roman" w:hAnsi="Times New Roman" w:cs="Times New Roman"/>
                <w:lang w:val="en-US"/>
              </w:rPr>
              <w:t>-insensitive respiration: represents remaining basal respiration not coupled to ATP production</w:t>
            </w:r>
          </w:p>
        </w:tc>
      </w:tr>
      <w:tr w:rsidR="00933BA7" w:rsidRPr="00933BA7" w:rsidTr="00933BA7">
        <w:trPr>
          <w:trHeight w:val="58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center"/>
              <w:rPr>
                <w:rFonts w:ascii="Times New Roman" w:hAnsi="Times New Roman" w:cs="Times New Roman"/>
              </w:rPr>
            </w:pPr>
            <w:r w:rsidRPr="00933BA7">
              <w:rPr>
                <w:rFonts w:ascii="Times New Roman" w:hAnsi="Times New Roman" w:cs="Times New Roman"/>
                <w:b/>
                <w:bCs/>
              </w:rPr>
              <w:t>Coupling efficiency</w:t>
            </w:r>
          </w:p>
        </w:tc>
        <w:tc>
          <w:tcPr>
            <w:tcW w:w="7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left"/>
              <w:rPr>
                <w:rFonts w:ascii="Times New Roman" w:hAnsi="Times New Roman" w:cs="Times New Roman"/>
              </w:rPr>
            </w:pPr>
            <w:r w:rsidRPr="00933BA7">
              <w:rPr>
                <w:rFonts w:ascii="Times New Roman" w:hAnsi="Times New Roman" w:cs="Times New Roman"/>
                <w:lang w:val="en-US"/>
              </w:rPr>
              <w:t>Ratio of ATP turnover-linked respiration and basal respiration: an indicator of OXPHOS and electron transport chain coupling quality</w:t>
            </w:r>
          </w:p>
        </w:tc>
      </w:tr>
      <w:tr w:rsidR="00933BA7" w:rsidRPr="00933BA7" w:rsidTr="00933BA7">
        <w:trPr>
          <w:trHeight w:val="58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center"/>
              <w:rPr>
                <w:rFonts w:ascii="Times New Roman" w:hAnsi="Times New Roman" w:cs="Times New Roman"/>
              </w:rPr>
            </w:pPr>
            <w:r w:rsidRPr="00933BA7">
              <w:rPr>
                <w:rFonts w:ascii="Times New Roman" w:hAnsi="Times New Roman" w:cs="Times New Roman"/>
                <w:b/>
                <w:bCs/>
              </w:rPr>
              <w:t>Maximal respiration</w:t>
            </w:r>
          </w:p>
        </w:tc>
        <w:tc>
          <w:tcPr>
            <w:tcW w:w="746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left"/>
              <w:rPr>
                <w:rFonts w:ascii="Times New Roman" w:hAnsi="Times New Roman" w:cs="Times New Roman"/>
              </w:rPr>
            </w:pPr>
            <w:r w:rsidRPr="00933BA7">
              <w:rPr>
                <w:rFonts w:ascii="Times New Roman" w:hAnsi="Times New Roman" w:cs="Times New Roman"/>
                <w:lang w:val="en-US"/>
              </w:rPr>
              <w:t>After the addition of an uncoupler (</w:t>
            </w:r>
            <w:r w:rsidRPr="00933BA7">
              <w:rPr>
                <w:rFonts w:ascii="Times New Roman" w:hAnsi="Times New Roman" w:cs="Times New Roman"/>
                <w:b/>
                <w:bCs/>
                <w:lang w:val="en-US"/>
              </w:rPr>
              <w:t>FCCP</w:t>
            </w:r>
            <w:r w:rsidRPr="00933BA7">
              <w:rPr>
                <w:rFonts w:ascii="Times New Roman" w:hAnsi="Times New Roman" w:cs="Times New Roman"/>
                <w:lang w:val="en-US"/>
              </w:rPr>
              <w:t>): reflects the maximal capacity of the electron transport chain</w:t>
            </w:r>
          </w:p>
        </w:tc>
      </w:tr>
      <w:tr w:rsidR="00933BA7" w:rsidRPr="00933BA7" w:rsidTr="00933BA7">
        <w:trPr>
          <w:trHeight w:val="58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center"/>
              <w:rPr>
                <w:rFonts w:ascii="Times New Roman" w:hAnsi="Times New Roman" w:cs="Times New Roman"/>
              </w:rPr>
            </w:pPr>
            <w:r w:rsidRPr="00933BA7">
              <w:rPr>
                <w:rFonts w:ascii="Times New Roman" w:hAnsi="Times New Roman" w:cs="Times New Roman"/>
                <w:b/>
                <w:bCs/>
                <w:lang w:val="en-US"/>
              </w:rPr>
              <w:t>Spare respiratory capacity</w:t>
            </w:r>
          </w:p>
        </w:tc>
        <w:tc>
          <w:tcPr>
            <w:tcW w:w="7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933BA7">
              <w:rPr>
                <w:rFonts w:ascii="Times New Roman" w:hAnsi="Times New Roman" w:cs="Times New Roman"/>
                <w:lang w:val="en-US"/>
              </w:rPr>
              <w:t>ifference between the maximum respiration obtained after the addition of FCCP and basal respiration: indicates the ability of the cell to respond to an energy demand</w:t>
            </w:r>
          </w:p>
        </w:tc>
      </w:tr>
      <w:tr w:rsidR="00933BA7" w:rsidRPr="00933BA7" w:rsidTr="00933BA7">
        <w:trPr>
          <w:trHeight w:val="1024"/>
        </w:trPr>
        <w:tc>
          <w:tcPr>
            <w:tcW w:w="21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center"/>
              <w:rPr>
                <w:rFonts w:ascii="Times New Roman" w:hAnsi="Times New Roman" w:cs="Times New Roman"/>
              </w:rPr>
            </w:pPr>
            <w:r w:rsidRPr="00933BA7">
              <w:rPr>
                <w:rFonts w:ascii="Times New Roman" w:hAnsi="Times New Roman" w:cs="Times New Roman"/>
                <w:b/>
                <w:bCs/>
                <w:lang w:val="en-US"/>
              </w:rPr>
              <w:t>Non-mitochondrial respiration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left"/>
              <w:rPr>
                <w:rFonts w:ascii="Times New Roman" w:hAnsi="Times New Roman" w:cs="Times New Roman"/>
              </w:rPr>
            </w:pPr>
            <w:r w:rsidRPr="00933BA7">
              <w:rPr>
                <w:rFonts w:ascii="Times New Roman" w:hAnsi="Times New Roman" w:cs="Times New Roman"/>
                <w:lang w:val="en-US"/>
              </w:rPr>
              <w:t xml:space="preserve">Rate is also necessary to obtain an accurate measurement of the above parameters. This is represented by the final OCR after the addition of </w:t>
            </w:r>
            <w:r w:rsidRPr="00933BA7">
              <w:rPr>
                <w:rFonts w:ascii="Times New Roman" w:hAnsi="Times New Roman" w:cs="Times New Roman"/>
                <w:b/>
                <w:lang w:val="en-US"/>
              </w:rPr>
              <w:t>Rot/AntA</w:t>
            </w:r>
          </w:p>
        </w:tc>
      </w:tr>
    </w:tbl>
    <w:p w:rsidR="00933BA7" w:rsidRPr="00933BA7" w:rsidRDefault="00933BA7">
      <w:pPr>
        <w:rPr>
          <w:rFonts w:ascii="Times New Roman" w:hAnsi="Times New Roman" w:cs="Times New Roman"/>
        </w:rPr>
      </w:pPr>
    </w:p>
    <w:p w:rsidR="00933BA7" w:rsidRPr="00933BA7" w:rsidRDefault="00933BA7" w:rsidP="00933BA7">
      <w:pPr>
        <w:rPr>
          <w:rFonts w:ascii="Times New Roman" w:hAnsi="Times New Roman" w:cs="Times New Roman"/>
          <w:b/>
        </w:rPr>
      </w:pPr>
      <w:r w:rsidRPr="00933BA7">
        <w:rPr>
          <w:rFonts w:ascii="Times New Roman" w:hAnsi="Times New Roman" w:cs="Times New Roman"/>
          <w:b/>
        </w:rPr>
        <w:t>(b)</w:t>
      </w:r>
    </w:p>
    <w:tbl>
      <w:tblPr>
        <w:tblW w:w="9600" w:type="dxa"/>
        <w:tblCellMar>
          <w:left w:w="0" w:type="dxa"/>
          <w:right w:w="0" w:type="dxa"/>
        </w:tblCellMar>
        <w:tblLook w:val="04A0"/>
      </w:tblPr>
      <w:tblGrid>
        <w:gridCol w:w="2140"/>
        <w:gridCol w:w="7460"/>
      </w:tblGrid>
      <w:tr w:rsidR="00933BA7" w:rsidRPr="00933BA7" w:rsidTr="00933BA7">
        <w:trPr>
          <w:trHeight w:val="584"/>
        </w:trPr>
        <w:tc>
          <w:tcPr>
            <w:tcW w:w="2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33BA7">
              <w:rPr>
                <w:rFonts w:ascii="Times New Roman" w:hAnsi="Times New Roman" w:cs="Times New Roman"/>
                <w:b/>
                <w:bCs/>
                <w:szCs w:val="24"/>
              </w:rPr>
              <w:t>Parameter</w:t>
            </w:r>
          </w:p>
        </w:tc>
        <w:tc>
          <w:tcPr>
            <w:tcW w:w="74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33BA7">
              <w:rPr>
                <w:rFonts w:ascii="Times New Roman" w:hAnsi="Times New Roman" w:cs="Times New Roman"/>
                <w:b/>
                <w:bCs/>
                <w:szCs w:val="24"/>
              </w:rPr>
              <w:t>Description</w:t>
            </w:r>
          </w:p>
        </w:tc>
      </w:tr>
      <w:tr w:rsidR="00933BA7" w:rsidRPr="00933BA7" w:rsidTr="00933BA7">
        <w:trPr>
          <w:trHeight w:val="584"/>
        </w:trPr>
        <w:tc>
          <w:tcPr>
            <w:tcW w:w="21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33BA7">
              <w:rPr>
                <w:rFonts w:ascii="Times New Roman" w:hAnsi="Times New Roman" w:cs="Times New Roman"/>
                <w:b/>
                <w:bCs/>
                <w:szCs w:val="24"/>
              </w:rPr>
              <w:t>Glycolysis rate</w:t>
            </w:r>
          </w:p>
        </w:tc>
        <w:tc>
          <w:tcPr>
            <w:tcW w:w="74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rPr>
                <w:rFonts w:ascii="Times New Roman" w:hAnsi="Times New Roman" w:cs="Times New Roman"/>
                <w:szCs w:val="24"/>
              </w:rPr>
            </w:pPr>
            <w:r w:rsidRPr="00933BA7">
              <w:rPr>
                <w:rFonts w:ascii="Times New Roman" w:hAnsi="Times New Roman" w:cs="Times New Roman"/>
                <w:szCs w:val="24"/>
                <w:lang w:val="en-US"/>
              </w:rPr>
              <w:t xml:space="preserve">Represents the process of converting glucose into pyruvate: It is measured as the rate of ECAR reached by the cells after </w:t>
            </w:r>
            <w:r>
              <w:rPr>
                <w:rFonts w:ascii="Times New Roman" w:hAnsi="Times New Roman" w:cs="Times New Roman"/>
                <w:b/>
                <w:bCs/>
                <w:szCs w:val="24"/>
                <w:lang w:val="en-US"/>
              </w:rPr>
              <w:t>G</w:t>
            </w:r>
            <w:r w:rsidRPr="00933BA7">
              <w:rPr>
                <w:rFonts w:ascii="Times New Roman" w:hAnsi="Times New Roman" w:cs="Times New Roman"/>
                <w:b/>
                <w:bCs/>
                <w:szCs w:val="24"/>
                <w:lang w:val="en-US"/>
              </w:rPr>
              <w:t>lucose</w:t>
            </w:r>
            <w:r w:rsidRPr="00933BA7">
              <w:rPr>
                <w:rFonts w:ascii="Times New Roman" w:hAnsi="Times New Roman" w:cs="Times New Roman"/>
                <w:szCs w:val="24"/>
                <w:lang w:val="en-US"/>
              </w:rPr>
              <w:t xml:space="preserve"> addition</w:t>
            </w:r>
            <w:r w:rsidRPr="00933BA7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</w:tr>
      <w:tr w:rsidR="00933BA7" w:rsidRPr="00933BA7" w:rsidTr="00933BA7">
        <w:trPr>
          <w:trHeight w:val="584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33BA7">
              <w:rPr>
                <w:rFonts w:ascii="Times New Roman" w:hAnsi="Times New Roman" w:cs="Times New Roman"/>
                <w:b/>
                <w:bCs/>
                <w:szCs w:val="24"/>
              </w:rPr>
              <w:t>Glycolytic capacity</w:t>
            </w:r>
          </w:p>
        </w:tc>
        <w:tc>
          <w:tcPr>
            <w:tcW w:w="7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rPr>
                <w:rFonts w:ascii="Times New Roman" w:hAnsi="Times New Roman" w:cs="Times New Roman"/>
                <w:szCs w:val="24"/>
              </w:rPr>
            </w:pPr>
            <w:r w:rsidRPr="00933BA7">
              <w:rPr>
                <w:rFonts w:ascii="Times New Roman" w:hAnsi="Times New Roman" w:cs="Times New Roman"/>
                <w:szCs w:val="24"/>
                <w:lang w:val="en-US"/>
              </w:rPr>
              <w:t xml:space="preserve">Maximum rate of ECAR reached after the addition of </w:t>
            </w:r>
            <w:r>
              <w:rPr>
                <w:rFonts w:ascii="Times New Roman" w:hAnsi="Times New Roman" w:cs="Times New Roman"/>
                <w:b/>
                <w:bCs/>
                <w:szCs w:val="24"/>
                <w:lang w:val="en-US"/>
              </w:rPr>
              <w:t>O</w:t>
            </w:r>
            <w:r w:rsidRPr="00933BA7">
              <w:rPr>
                <w:rFonts w:ascii="Times New Roman" w:hAnsi="Times New Roman" w:cs="Times New Roman"/>
                <w:b/>
                <w:bCs/>
                <w:szCs w:val="24"/>
                <w:lang w:val="en-US"/>
              </w:rPr>
              <w:t>lygomicin</w:t>
            </w:r>
            <w:r w:rsidRPr="00933BA7">
              <w:rPr>
                <w:rFonts w:ascii="Times New Roman" w:hAnsi="Times New Roman" w:cs="Times New Roman"/>
                <w:szCs w:val="24"/>
                <w:lang w:val="en-US"/>
              </w:rPr>
              <w:t xml:space="preserve"> that inhibits OXPHOS, forcing the cells to use glycolysis at maximum capacity</w:t>
            </w:r>
            <w:r w:rsidRPr="00933BA7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</w:tr>
      <w:tr w:rsidR="00933BA7" w:rsidRPr="00933BA7" w:rsidTr="00933BA7">
        <w:trPr>
          <w:trHeight w:val="584"/>
        </w:trPr>
        <w:tc>
          <w:tcPr>
            <w:tcW w:w="21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33BA7">
              <w:rPr>
                <w:rFonts w:ascii="Times New Roman" w:hAnsi="Times New Roman" w:cs="Times New Roman"/>
                <w:b/>
                <w:bCs/>
                <w:szCs w:val="24"/>
              </w:rPr>
              <w:t>Glycolytic reserve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D155D" w:rsidRPr="00933BA7" w:rsidRDefault="00933BA7" w:rsidP="00933BA7">
            <w:pPr>
              <w:rPr>
                <w:rFonts w:ascii="Times New Roman" w:hAnsi="Times New Roman" w:cs="Times New Roman"/>
                <w:szCs w:val="24"/>
              </w:rPr>
            </w:pPr>
            <w:r w:rsidRPr="00933BA7">
              <w:rPr>
                <w:rFonts w:ascii="Times New Roman" w:hAnsi="Times New Roman" w:cs="Times New Roman"/>
                <w:szCs w:val="24"/>
                <w:lang w:val="en-US"/>
              </w:rPr>
              <w:t>Difference between the maximum glycolytic capacity and glycolysis: indicates the cells' ability to respond to an energy demand</w:t>
            </w:r>
            <w:r w:rsidRPr="00933BA7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</w:tr>
    </w:tbl>
    <w:p w:rsidR="00933BA7" w:rsidRDefault="00933BA7"/>
    <w:sectPr w:rsidR="00933BA7" w:rsidSect="008927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33BA7"/>
    <w:rsid w:val="0001432C"/>
    <w:rsid w:val="000207B1"/>
    <w:rsid w:val="00054728"/>
    <w:rsid w:val="00056D9E"/>
    <w:rsid w:val="000633B1"/>
    <w:rsid w:val="00080DCF"/>
    <w:rsid w:val="000A62C7"/>
    <w:rsid w:val="000E5B53"/>
    <w:rsid w:val="000E71C8"/>
    <w:rsid w:val="00122D30"/>
    <w:rsid w:val="00125EC1"/>
    <w:rsid w:val="00130992"/>
    <w:rsid w:val="0013497C"/>
    <w:rsid w:val="00134E81"/>
    <w:rsid w:val="00140CD7"/>
    <w:rsid w:val="00156349"/>
    <w:rsid w:val="00156F05"/>
    <w:rsid w:val="001576FF"/>
    <w:rsid w:val="00160350"/>
    <w:rsid w:val="001705F0"/>
    <w:rsid w:val="001748E8"/>
    <w:rsid w:val="001761F7"/>
    <w:rsid w:val="001837DB"/>
    <w:rsid w:val="001906D1"/>
    <w:rsid w:val="001A58A3"/>
    <w:rsid w:val="001D159B"/>
    <w:rsid w:val="00202DAB"/>
    <w:rsid w:val="0022236B"/>
    <w:rsid w:val="0023024F"/>
    <w:rsid w:val="00237E70"/>
    <w:rsid w:val="002478FD"/>
    <w:rsid w:val="0027565D"/>
    <w:rsid w:val="002848B1"/>
    <w:rsid w:val="002918B1"/>
    <w:rsid w:val="00294F1E"/>
    <w:rsid w:val="002A5A33"/>
    <w:rsid w:val="002B40C9"/>
    <w:rsid w:val="002B793F"/>
    <w:rsid w:val="002C3DD0"/>
    <w:rsid w:val="002E171A"/>
    <w:rsid w:val="002E4FFA"/>
    <w:rsid w:val="002E6E38"/>
    <w:rsid w:val="002F2719"/>
    <w:rsid w:val="00316136"/>
    <w:rsid w:val="0032484D"/>
    <w:rsid w:val="00333C3D"/>
    <w:rsid w:val="00344191"/>
    <w:rsid w:val="00360346"/>
    <w:rsid w:val="00362AE0"/>
    <w:rsid w:val="0036342B"/>
    <w:rsid w:val="00365DBA"/>
    <w:rsid w:val="00374E61"/>
    <w:rsid w:val="0039097A"/>
    <w:rsid w:val="003A3AC7"/>
    <w:rsid w:val="003B03CD"/>
    <w:rsid w:val="003B0E48"/>
    <w:rsid w:val="003C3FC2"/>
    <w:rsid w:val="003C7389"/>
    <w:rsid w:val="003D117A"/>
    <w:rsid w:val="003D639C"/>
    <w:rsid w:val="003F7D6D"/>
    <w:rsid w:val="0040459C"/>
    <w:rsid w:val="00420502"/>
    <w:rsid w:val="00450A92"/>
    <w:rsid w:val="0045267F"/>
    <w:rsid w:val="00474766"/>
    <w:rsid w:val="004849C2"/>
    <w:rsid w:val="004947CF"/>
    <w:rsid w:val="004B4905"/>
    <w:rsid w:val="004D586A"/>
    <w:rsid w:val="005076C0"/>
    <w:rsid w:val="00527CA4"/>
    <w:rsid w:val="005312FA"/>
    <w:rsid w:val="00551DD3"/>
    <w:rsid w:val="005540AA"/>
    <w:rsid w:val="0056031E"/>
    <w:rsid w:val="00575873"/>
    <w:rsid w:val="00586B0F"/>
    <w:rsid w:val="00594461"/>
    <w:rsid w:val="005E7190"/>
    <w:rsid w:val="006046D8"/>
    <w:rsid w:val="006267B2"/>
    <w:rsid w:val="00652F7A"/>
    <w:rsid w:val="00693D52"/>
    <w:rsid w:val="00694C88"/>
    <w:rsid w:val="006A3A43"/>
    <w:rsid w:val="006B5ECA"/>
    <w:rsid w:val="006C0667"/>
    <w:rsid w:val="006C1D52"/>
    <w:rsid w:val="006C1FB9"/>
    <w:rsid w:val="006E14E5"/>
    <w:rsid w:val="006F553A"/>
    <w:rsid w:val="0071190D"/>
    <w:rsid w:val="00721928"/>
    <w:rsid w:val="007A5F13"/>
    <w:rsid w:val="007D1B5A"/>
    <w:rsid w:val="007D3404"/>
    <w:rsid w:val="007D7CD2"/>
    <w:rsid w:val="00806474"/>
    <w:rsid w:val="00810BB1"/>
    <w:rsid w:val="0083084D"/>
    <w:rsid w:val="00851C50"/>
    <w:rsid w:val="00892798"/>
    <w:rsid w:val="008A2E86"/>
    <w:rsid w:val="008B1B03"/>
    <w:rsid w:val="008B7391"/>
    <w:rsid w:val="008E5D10"/>
    <w:rsid w:val="008F5AAC"/>
    <w:rsid w:val="009031FB"/>
    <w:rsid w:val="00914CFF"/>
    <w:rsid w:val="00926480"/>
    <w:rsid w:val="00926C45"/>
    <w:rsid w:val="009279A2"/>
    <w:rsid w:val="00933BA7"/>
    <w:rsid w:val="00934A0F"/>
    <w:rsid w:val="009668A7"/>
    <w:rsid w:val="009717DF"/>
    <w:rsid w:val="009909EF"/>
    <w:rsid w:val="00995105"/>
    <w:rsid w:val="00996B33"/>
    <w:rsid w:val="009C7188"/>
    <w:rsid w:val="009D4F41"/>
    <w:rsid w:val="009D5366"/>
    <w:rsid w:val="009D7A64"/>
    <w:rsid w:val="009E0059"/>
    <w:rsid w:val="00A00D22"/>
    <w:rsid w:val="00A13200"/>
    <w:rsid w:val="00A235C2"/>
    <w:rsid w:val="00A50C07"/>
    <w:rsid w:val="00A5725A"/>
    <w:rsid w:val="00A72B0D"/>
    <w:rsid w:val="00A77386"/>
    <w:rsid w:val="00A93231"/>
    <w:rsid w:val="00AA03CE"/>
    <w:rsid w:val="00AB4B0B"/>
    <w:rsid w:val="00AB4F76"/>
    <w:rsid w:val="00AC7161"/>
    <w:rsid w:val="00AE4079"/>
    <w:rsid w:val="00AF5B70"/>
    <w:rsid w:val="00B11959"/>
    <w:rsid w:val="00B31CA9"/>
    <w:rsid w:val="00B46305"/>
    <w:rsid w:val="00B617CD"/>
    <w:rsid w:val="00B67A76"/>
    <w:rsid w:val="00B73ACD"/>
    <w:rsid w:val="00B77BB6"/>
    <w:rsid w:val="00B944AB"/>
    <w:rsid w:val="00BA6346"/>
    <w:rsid w:val="00BC32AF"/>
    <w:rsid w:val="00BC799B"/>
    <w:rsid w:val="00BD2C8E"/>
    <w:rsid w:val="00BD478B"/>
    <w:rsid w:val="00BE0824"/>
    <w:rsid w:val="00BE660D"/>
    <w:rsid w:val="00BE7DE6"/>
    <w:rsid w:val="00C24CD0"/>
    <w:rsid w:val="00C5488B"/>
    <w:rsid w:val="00C9589B"/>
    <w:rsid w:val="00CA0040"/>
    <w:rsid w:val="00CA76C3"/>
    <w:rsid w:val="00CD155D"/>
    <w:rsid w:val="00CE5E2D"/>
    <w:rsid w:val="00CE7775"/>
    <w:rsid w:val="00D11293"/>
    <w:rsid w:val="00D1386A"/>
    <w:rsid w:val="00D21922"/>
    <w:rsid w:val="00D253CD"/>
    <w:rsid w:val="00D27C73"/>
    <w:rsid w:val="00D344F4"/>
    <w:rsid w:val="00D5632D"/>
    <w:rsid w:val="00D80326"/>
    <w:rsid w:val="00D8589D"/>
    <w:rsid w:val="00DC2C98"/>
    <w:rsid w:val="00DC4193"/>
    <w:rsid w:val="00DD1419"/>
    <w:rsid w:val="00DD59D8"/>
    <w:rsid w:val="00DD6F2E"/>
    <w:rsid w:val="00DE57A7"/>
    <w:rsid w:val="00DF06BA"/>
    <w:rsid w:val="00DF42E9"/>
    <w:rsid w:val="00DF5BCD"/>
    <w:rsid w:val="00E01847"/>
    <w:rsid w:val="00E318AC"/>
    <w:rsid w:val="00E354DD"/>
    <w:rsid w:val="00E50C8C"/>
    <w:rsid w:val="00E73B77"/>
    <w:rsid w:val="00EF52D8"/>
    <w:rsid w:val="00F0423D"/>
    <w:rsid w:val="00F30FCB"/>
    <w:rsid w:val="00F35D3E"/>
    <w:rsid w:val="00F61144"/>
    <w:rsid w:val="00F628B5"/>
    <w:rsid w:val="00F64B0E"/>
    <w:rsid w:val="00FB4B18"/>
    <w:rsid w:val="00FC6C40"/>
    <w:rsid w:val="00FF4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7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45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3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253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2</cp:revision>
  <dcterms:created xsi:type="dcterms:W3CDTF">2019-05-14T15:24:00Z</dcterms:created>
  <dcterms:modified xsi:type="dcterms:W3CDTF">2019-12-26T12:43:00Z</dcterms:modified>
</cp:coreProperties>
</file>